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FBE07" w14:textId="77777777" w:rsidR="001E32BC" w:rsidRDefault="001E32BC" w:rsidP="001E32BC">
      <w:pPr>
        <w:jc w:val="center"/>
        <w:rPr>
          <w:lang w:val="en-US"/>
        </w:rPr>
      </w:pPr>
      <w:bookmarkStart w:id="0" w:name="_GoBack"/>
      <w:bookmarkEnd w:id="0"/>
    </w:p>
    <w:p w14:paraId="6D091F44" w14:textId="77777777" w:rsidR="001E32BC" w:rsidRDefault="001E32BC" w:rsidP="001E32BC">
      <w:pPr>
        <w:jc w:val="center"/>
        <w:rPr>
          <w:lang w:val="en-US"/>
        </w:rPr>
      </w:pPr>
    </w:p>
    <w:p w14:paraId="5D2A18A1" w14:textId="77777777" w:rsidR="001E32BC" w:rsidRDefault="001E32BC" w:rsidP="001E32BC">
      <w:pPr>
        <w:jc w:val="center"/>
        <w:rPr>
          <w:lang w:val="en-US"/>
        </w:rPr>
      </w:pPr>
    </w:p>
    <w:p w14:paraId="1962CFEB" w14:textId="77777777" w:rsidR="001E32BC" w:rsidRDefault="001E32BC" w:rsidP="001E32BC">
      <w:pPr>
        <w:jc w:val="center"/>
        <w:rPr>
          <w:lang w:val="en-US"/>
        </w:rPr>
      </w:pPr>
    </w:p>
    <w:p w14:paraId="6DB85CF9" w14:textId="77777777" w:rsidR="001E32BC" w:rsidRDefault="001E32BC" w:rsidP="001E32BC">
      <w:pPr>
        <w:jc w:val="center"/>
        <w:rPr>
          <w:lang w:val="en-US"/>
        </w:rPr>
      </w:pPr>
    </w:p>
    <w:p w14:paraId="55FFDEEC" w14:textId="77777777" w:rsidR="001E32BC" w:rsidRDefault="001E32BC" w:rsidP="001E32BC">
      <w:pPr>
        <w:jc w:val="center"/>
        <w:rPr>
          <w:lang w:val="en-US"/>
        </w:rPr>
      </w:pPr>
    </w:p>
    <w:p w14:paraId="33BE7503" w14:textId="77777777" w:rsidR="001E32BC" w:rsidRDefault="001E32BC" w:rsidP="001E32BC">
      <w:pPr>
        <w:jc w:val="center"/>
        <w:rPr>
          <w:lang w:val="en-US"/>
        </w:rPr>
      </w:pPr>
    </w:p>
    <w:p w14:paraId="71040BF3" w14:textId="77777777" w:rsidR="001E32BC" w:rsidRDefault="001E32BC" w:rsidP="001E32BC">
      <w:pPr>
        <w:jc w:val="center"/>
        <w:rPr>
          <w:lang w:val="en-US"/>
        </w:rPr>
      </w:pPr>
    </w:p>
    <w:p w14:paraId="3B6E6FA5" w14:textId="77777777" w:rsidR="001E32BC" w:rsidRDefault="001E32BC" w:rsidP="001E32BC">
      <w:pPr>
        <w:jc w:val="center"/>
        <w:rPr>
          <w:lang w:val="en-US"/>
        </w:rPr>
      </w:pPr>
    </w:p>
    <w:p w14:paraId="0EF4F0B4" w14:textId="77777777" w:rsidR="001E32BC" w:rsidRDefault="001E32BC" w:rsidP="001E32BC">
      <w:pPr>
        <w:jc w:val="center"/>
        <w:rPr>
          <w:lang w:val="en-US"/>
        </w:rPr>
      </w:pPr>
    </w:p>
    <w:p w14:paraId="7D9D7977" w14:textId="77777777" w:rsidR="001E32BC" w:rsidRDefault="001E32BC" w:rsidP="001E32BC">
      <w:pPr>
        <w:jc w:val="center"/>
        <w:rPr>
          <w:lang w:val="en-US"/>
        </w:rPr>
      </w:pPr>
    </w:p>
    <w:p w14:paraId="3426E7CB" w14:textId="77777777" w:rsidR="001E32BC" w:rsidRDefault="001E32BC" w:rsidP="001E32BC">
      <w:pPr>
        <w:jc w:val="center"/>
        <w:rPr>
          <w:lang w:val="en-US"/>
        </w:rPr>
      </w:pPr>
    </w:p>
    <w:p w14:paraId="66E5820E" w14:textId="77777777" w:rsidR="001E32BC" w:rsidRDefault="001E32BC" w:rsidP="001E32BC">
      <w:pPr>
        <w:jc w:val="center"/>
        <w:rPr>
          <w:lang w:val="en-US"/>
        </w:rPr>
      </w:pPr>
    </w:p>
    <w:p w14:paraId="6360931E" w14:textId="77777777" w:rsidR="001E32BC" w:rsidRDefault="001E32BC" w:rsidP="001E32BC">
      <w:pPr>
        <w:jc w:val="center"/>
        <w:rPr>
          <w:lang w:val="en-US"/>
        </w:rPr>
      </w:pPr>
    </w:p>
    <w:p w14:paraId="5E31F025" w14:textId="0DBB3EB0" w:rsidR="00506581" w:rsidRDefault="00035067" w:rsidP="001E32BC">
      <w:pPr>
        <w:jc w:val="center"/>
        <w:rPr>
          <w:lang w:val="en-US"/>
        </w:rPr>
      </w:pPr>
      <w:r>
        <w:rPr>
          <w:lang w:val="en-US"/>
        </w:rPr>
        <w:t xml:space="preserve">Vicarious </w:t>
      </w:r>
      <w:r w:rsidR="001E32BC">
        <w:rPr>
          <w:lang w:val="en-US"/>
        </w:rPr>
        <w:t>Trauma Risk Factors</w:t>
      </w:r>
    </w:p>
    <w:p w14:paraId="4DABA627" w14:textId="05120429" w:rsidR="001E32BC" w:rsidRDefault="00035067" w:rsidP="001E32BC">
      <w:pPr>
        <w:jc w:val="center"/>
        <w:rPr>
          <w:lang w:val="en-US"/>
        </w:rPr>
      </w:pPr>
      <w:r>
        <w:rPr>
          <w:lang w:val="en-US"/>
        </w:rPr>
        <w:t>Name</w:t>
      </w:r>
    </w:p>
    <w:p w14:paraId="136CB911" w14:textId="0AF8D40C" w:rsidR="001E32BC" w:rsidRDefault="00035067" w:rsidP="001E32BC">
      <w:pPr>
        <w:jc w:val="center"/>
        <w:rPr>
          <w:lang w:val="en-US"/>
        </w:rPr>
      </w:pPr>
      <w:r>
        <w:rPr>
          <w:lang w:val="en-US"/>
        </w:rPr>
        <w:t>Institution</w:t>
      </w:r>
    </w:p>
    <w:p w14:paraId="06EB844A" w14:textId="143EB9A4" w:rsidR="001E32BC" w:rsidRDefault="001E32BC" w:rsidP="001E32BC">
      <w:pPr>
        <w:jc w:val="center"/>
        <w:rPr>
          <w:lang w:val="en-US"/>
        </w:rPr>
      </w:pPr>
    </w:p>
    <w:p w14:paraId="4564893E" w14:textId="3CF1DFFF" w:rsidR="001E32BC" w:rsidRDefault="001E32BC" w:rsidP="001E32BC">
      <w:pPr>
        <w:jc w:val="center"/>
        <w:rPr>
          <w:lang w:val="en-US"/>
        </w:rPr>
      </w:pPr>
    </w:p>
    <w:p w14:paraId="262B16A0" w14:textId="5E0FBB8F" w:rsidR="001E32BC" w:rsidRDefault="001E32BC" w:rsidP="001E32BC">
      <w:pPr>
        <w:jc w:val="center"/>
        <w:rPr>
          <w:lang w:val="en-US"/>
        </w:rPr>
      </w:pPr>
    </w:p>
    <w:p w14:paraId="1C9B4913" w14:textId="0C4F1581" w:rsidR="001E32BC" w:rsidRDefault="001E32BC" w:rsidP="001E32BC">
      <w:pPr>
        <w:jc w:val="center"/>
        <w:rPr>
          <w:lang w:val="en-US"/>
        </w:rPr>
      </w:pPr>
    </w:p>
    <w:p w14:paraId="50F8A0CC" w14:textId="6D3D8F05" w:rsidR="001E32BC" w:rsidRDefault="001E32BC" w:rsidP="001E32BC">
      <w:pPr>
        <w:jc w:val="center"/>
        <w:rPr>
          <w:lang w:val="en-US"/>
        </w:rPr>
      </w:pPr>
    </w:p>
    <w:p w14:paraId="6DA495A5" w14:textId="5E0DCB42" w:rsidR="001E32BC" w:rsidRDefault="001E32BC" w:rsidP="001E32BC">
      <w:pPr>
        <w:jc w:val="center"/>
        <w:rPr>
          <w:lang w:val="en-US"/>
        </w:rPr>
      </w:pPr>
    </w:p>
    <w:p w14:paraId="523B879B" w14:textId="50CE1CF9" w:rsidR="001E32BC" w:rsidRDefault="001E32BC" w:rsidP="001E32BC">
      <w:pPr>
        <w:jc w:val="center"/>
        <w:rPr>
          <w:lang w:val="en-US"/>
        </w:rPr>
      </w:pPr>
    </w:p>
    <w:p w14:paraId="0E3A6A3B" w14:textId="720A10E1" w:rsidR="001E32BC" w:rsidRDefault="001E32BC" w:rsidP="001E32BC">
      <w:pPr>
        <w:jc w:val="center"/>
        <w:rPr>
          <w:lang w:val="en-US"/>
        </w:rPr>
      </w:pPr>
    </w:p>
    <w:p w14:paraId="07367177" w14:textId="4EABA118" w:rsidR="001E32BC" w:rsidRDefault="001E32BC" w:rsidP="001E32BC">
      <w:pPr>
        <w:jc w:val="center"/>
        <w:rPr>
          <w:lang w:val="en-US"/>
        </w:rPr>
      </w:pPr>
    </w:p>
    <w:p w14:paraId="294FFEC5" w14:textId="7CED985D" w:rsidR="001E32BC" w:rsidRDefault="001E32BC" w:rsidP="001E32BC">
      <w:pPr>
        <w:jc w:val="center"/>
        <w:rPr>
          <w:lang w:val="en-US"/>
        </w:rPr>
      </w:pPr>
    </w:p>
    <w:p w14:paraId="41FB2EF5" w14:textId="5C453A8E" w:rsidR="001E32BC" w:rsidRDefault="001E32BC" w:rsidP="001E32BC">
      <w:pPr>
        <w:jc w:val="center"/>
        <w:rPr>
          <w:lang w:val="en-US"/>
        </w:rPr>
      </w:pPr>
    </w:p>
    <w:p w14:paraId="66E43359" w14:textId="77777777" w:rsidR="001E32BC" w:rsidRDefault="001E32BC" w:rsidP="001E32BC">
      <w:pPr>
        <w:jc w:val="center"/>
        <w:rPr>
          <w:lang w:val="en-US"/>
        </w:rPr>
      </w:pPr>
    </w:p>
    <w:p w14:paraId="74A96149" w14:textId="77777777" w:rsidR="001E32BC" w:rsidRDefault="001E32BC">
      <w:pPr>
        <w:rPr>
          <w:lang w:val="en-US"/>
        </w:rPr>
      </w:pPr>
    </w:p>
    <w:p w14:paraId="55FEE8BB" w14:textId="2F824BA1" w:rsidR="006E31F9" w:rsidRPr="00262FEF" w:rsidRDefault="00035067" w:rsidP="00262FEF">
      <w:pPr>
        <w:spacing w:line="480" w:lineRule="auto"/>
        <w:ind w:firstLine="720"/>
        <w:jc w:val="both"/>
        <w:rPr>
          <w:lang w:val="en-US"/>
        </w:rPr>
      </w:pPr>
      <w:r>
        <w:rPr>
          <w:lang w:val="en-US"/>
        </w:rPr>
        <w:lastRenderedPageBreak/>
        <w:t xml:space="preserve">Vicarious trauma is s significant emotional disorder which occurs as a result of interacting with an </w:t>
      </w:r>
      <w:r w:rsidR="00CD3E35">
        <w:rPr>
          <w:lang w:val="en-US"/>
        </w:rPr>
        <w:t>individual</w:t>
      </w:r>
      <w:r>
        <w:rPr>
          <w:lang w:val="en-US"/>
        </w:rPr>
        <w:t xml:space="preserve"> who has experienced traumatic events in their lives. The development of vicarious trauma is influenced by different factors where it is possible to understand why certain individuals are more likely to develop this condition compared to others. The nature of work has a strong influence on the development of vicarious trauma. A counselor who works at a war setting is more likely to experience vicarious trauma</w:t>
      </w:r>
      <w:r w:rsidR="00CD3E35">
        <w:rPr>
          <w:lang w:val="en-US"/>
        </w:rPr>
        <w:t xml:space="preserve">. Working with survivors has a strong influence </w:t>
      </w:r>
      <w:r w:rsidR="00B55C20">
        <w:rPr>
          <w:lang w:val="en-US"/>
        </w:rPr>
        <w:t>on individual emotional wellbeing, which is likely to have a strong impact on the development of vicarious trauma</w:t>
      </w:r>
      <w:r w:rsidR="00262FEF">
        <w:rPr>
          <w:lang w:val="en-US"/>
        </w:rPr>
        <w:t xml:space="preserve"> (</w:t>
      </w:r>
      <w:r w:rsidR="00262FEF" w:rsidRPr="00262FEF">
        <w:t>Wagaman</w:t>
      </w:r>
      <w:r w:rsidR="00262FEF">
        <w:rPr>
          <w:lang w:val="en-US"/>
        </w:rPr>
        <w:t xml:space="preserve"> et al., 2015).</w:t>
      </w:r>
    </w:p>
    <w:p w14:paraId="107367D9" w14:textId="52FDC15C" w:rsidR="00262FEF" w:rsidRPr="00262FEF" w:rsidRDefault="00035067" w:rsidP="00262FEF">
      <w:pPr>
        <w:spacing w:line="480" w:lineRule="auto"/>
        <w:ind w:firstLine="720"/>
        <w:jc w:val="both"/>
        <w:rPr>
          <w:lang w:val="en-US"/>
        </w:rPr>
      </w:pPr>
      <w:r>
        <w:rPr>
          <w:lang w:val="en-US"/>
        </w:rPr>
        <w:t xml:space="preserve">Ignoring health boundaries provide a different understanding of critical processes which can help identify essential guidelines that prevent an individual from being engrossed in issues suffered by a patient. Being high standards of empathy create a different emphasis on critical processes which help create a unique outline under which it is difficult to control emotions. Healthcare service providers focus on various aspects which define their wellbeing. Less experience as a therapist increases the risk of vicarious trauma.  A less experienced counselor is unable to understand the difficulties suffered by clients and thus more likely to be affected by the traumatic experiences shared </w:t>
      </w:r>
      <w:r w:rsidR="00B25BE6">
        <w:rPr>
          <w:lang w:val="en-US"/>
        </w:rPr>
        <w:t>easily</w:t>
      </w:r>
      <w:r>
        <w:rPr>
          <w:lang w:val="en-US"/>
        </w:rPr>
        <w:t xml:space="preserve"> (</w:t>
      </w:r>
      <w:r w:rsidRPr="00262FEF">
        <w:t>Taylor</w:t>
      </w:r>
      <w:r>
        <w:rPr>
          <w:lang w:val="en-US"/>
        </w:rPr>
        <w:t xml:space="preserve"> et al., 2016).</w:t>
      </w:r>
    </w:p>
    <w:p w14:paraId="587DF564" w14:textId="7D5A56DE" w:rsidR="00B25BE6" w:rsidRPr="00262FEF" w:rsidRDefault="00035067" w:rsidP="00262FEF">
      <w:pPr>
        <w:spacing w:line="480" w:lineRule="auto"/>
        <w:ind w:firstLine="720"/>
        <w:jc w:val="both"/>
        <w:rPr>
          <w:b/>
          <w:bCs/>
          <w:lang w:val="en-US"/>
        </w:rPr>
      </w:pPr>
      <w:r>
        <w:rPr>
          <w:lang w:val="en-US"/>
        </w:rPr>
        <w:t xml:space="preserve">Experience in counseling provides a unique emphasis on critical processes which can help in defining boundaries between personal emotional attachment and professional relationship that exist between clients and therapists. Too much experience can also be associated with an increased risk of vicarious trauma development. High experience creates a high level of exposure, which defines an increased risk for the development of the condition. High negative clinical outcomes also create an increased risk in the development of vicarious trauma. Activities that create emotional attachment within a </w:t>
      </w:r>
      <w:r w:rsidR="00831B91">
        <w:rPr>
          <w:lang w:val="en-US"/>
        </w:rPr>
        <w:t>healthcare setting</w:t>
      </w:r>
      <w:r>
        <w:rPr>
          <w:lang w:val="en-US"/>
        </w:rPr>
        <w:t xml:space="preserve"> create a difficult environment where it is possible to implement necessary changes which influence the increased risk of vicarious trauma</w:t>
      </w:r>
      <w:r w:rsidR="00262FEF">
        <w:rPr>
          <w:lang w:val="en-US"/>
        </w:rPr>
        <w:t xml:space="preserve"> (</w:t>
      </w:r>
      <w:r w:rsidR="00262FEF" w:rsidRPr="00262FEF">
        <w:t>Newell &amp; MacNeil, 201</w:t>
      </w:r>
      <w:r w:rsidR="00262FEF" w:rsidRPr="00262FEF">
        <w:rPr>
          <w:lang w:val="en-US"/>
        </w:rPr>
        <w:t>4</w:t>
      </w:r>
      <w:r w:rsidR="00262FEF" w:rsidRPr="00262FEF">
        <w:t>).</w:t>
      </w:r>
    </w:p>
    <w:p w14:paraId="33FD63AA" w14:textId="3E11D511" w:rsidR="00B25BE6" w:rsidRDefault="00035067" w:rsidP="00262FEF">
      <w:pPr>
        <w:spacing w:line="480" w:lineRule="auto"/>
        <w:ind w:firstLine="720"/>
        <w:jc w:val="both"/>
        <w:rPr>
          <w:lang w:val="en-US"/>
        </w:rPr>
      </w:pPr>
      <w:r>
        <w:rPr>
          <w:lang w:val="en-US"/>
        </w:rPr>
        <w:lastRenderedPageBreak/>
        <w:t xml:space="preserve">Personal factors </w:t>
      </w:r>
    </w:p>
    <w:p w14:paraId="4D27BE53" w14:textId="7E3EB83B" w:rsidR="00B25BE6" w:rsidRDefault="00035067" w:rsidP="00262FEF">
      <w:pPr>
        <w:spacing w:line="480" w:lineRule="auto"/>
        <w:ind w:firstLine="720"/>
        <w:jc w:val="both"/>
        <w:rPr>
          <w:lang w:val="en-US"/>
        </w:rPr>
      </w:pPr>
      <w:r>
        <w:rPr>
          <w:lang w:val="en-US"/>
        </w:rPr>
        <w:t xml:space="preserve">Personal factors provide a critical understanding of essential elements which help create a unique integration of specific factors which influence personality development. There are different factors which influence the risk of developing vicarious trauma. </w:t>
      </w:r>
      <w:r w:rsidR="00506581">
        <w:rPr>
          <w:lang w:val="en-US"/>
        </w:rPr>
        <w:t>I have a high level of empathy, which is likely to increase the risk of vicarious trauma. It is difficult for me to maintain a strict boundary between professional and personal space, which is detrimental to the positive character. Being engrossed in patient issues makes it difficult to deal with numerous traumatic cases considering that these experiences have a negative influence on a client psychological wellbeing.</w:t>
      </w:r>
    </w:p>
    <w:p w14:paraId="472E9F27" w14:textId="70939191" w:rsidR="00506581" w:rsidRDefault="00035067" w:rsidP="00262FEF">
      <w:pPr>
        <w:spacing w:line="480" w:lineRule="auto"/>
        <w:ind w:firstLine="720"/>
        <w:jc w:val="both"/>
        <w:rPr>
          <w:lang w:val="en-US"/>
        </w:rPr>
      </w:pPr>
      <w:r>
        <w:rPr>
          <w:lang w:val="en-US"/>
        </w:rPr>
        <w:t xml:space="preserve">I have less experience, which means that there is an increased risk of vicarious trauma.  High experience enables an individual to understand different ways to deal with these traumatic situations and focus on providing a client with a better clinical decision without being influenced by these factors. There is a strong emphasis on client development while creating a highly interactive </w:t>
      </w:r>
      <w:r w:rsidR="00831B91">
        <w:rPr>
          <w:lang w:val="en-US"/>
        </w:rPr>
        <w:t>atmosphere</w:t>
      </w:r>
      <w:r>
        <w:rPr>
          <w:lang w:val="en-US"/>
        </w:rPr>
        <w:t xml:space="preserve"> without being entangled in the client's feelings and perception. Dealing with traumatic situations provide a different emphasis on essential factors which can increase the chances of vicarious trauma. Personality plays a significant role, especially considering the existing issues which create a different level of organization. </w:t>
      </w:r>
    </w:p>
    <w:p w14:paraId="68444D5A" w14:textId="1F586245" w:rsidR="00262FEF" w:rsidRDefault="00262FEF" w:rsidP="00262FEF">
      <w:pPr>
        <w:spacing w:line="480" w:lineRule="auto"/>
        <w:ind w:firstLine="720"/>
        <w:jc w:val="both"/>
        <w:rPr>
          <w:lang w:val="en-US"/>
        </w:rPr>
      </w:pPr>
    </w:p>
    <w:p w14:paraId="1CBEAC1D" w14:textId="59DD8D1B" w:rsidR="00262FEF" w:rsidRDefault="00262FEF" w:rsidP="00262FEF">
      <w:pPr>
        <w:spacing w:line="480" w:lineRule="auto"/>
        <w:ind w:firstLine="720"/>
        <w:jc w:val="both"/>
        <w:rPr>
          <w:lang w:val="en-US"/>
        </w:rPr>
      </w:pPr>
    </w:p>
    <w:p w14:paraId="237B23F8" w14:textId="461FAECB" w:rsidR="00262FEF" w:rsidRDefault="00262FEF" w:rsidP="00262FEF">
      <w:pPr>
        <w:spacing w:line="480" w:lineRule="auto"/>
        <w:ind w:firstLine="720"/>
        <w:jc w:val="both"/>
        <w:rPr>
          <w:lang w:val="en-US"/>
        </w:rPr>
      </w:pPr>
    </w:p>
    <w:p w14:paraId="48818972" w14:textId="2C82C33E" w:rsidR="00262FEF" w:rsidRDefault="00262FEF" w:rsidP="00262FEF">
      <w:pPr>
        <w:spacing w:line="480" w:lineRule="auto"/>
        <w:ind w:firstLine="720"/>
        <w:jc w:val="both"/>
        <w:rPr>
          <w:lang w:val="en-US"/>
        </w:rPr>
      </w:pPr>
    </w:p>
    <w:p w14:paraId="2F88D96C" w14:textId="3009CB0B" w:rsidR="00262FEF" w:rsidRDefault="00262FEF" w:rsidP="00262FEF">
      <w:pPr>
        <w:spacing w:line="480" w:lineRule="auto"/>
        <w:ind w:firstLine="720"/>
        <w:jc w:val="both"/>
        <w:rPr>
          <w:lang w:val="en-US"/>
        </w:rPr>
      </w:pPr>
    </w:p>
    <w:p w14:paraId="02BF316D" w14:textId="77777777" w:rsidR="00262FEF" w:rsidRDefault="00262FEF" w:rsidP="00262FEF">
      <w:pPr>
        <w:spacing w:line="480" w:lineRule="auto"/>
        <w:ind w:firstLine="720"/>
        <w:jc w:val="both"/>
        <w:rPr>
          <w:lang w:val="en-US"/>
        </w:rPr>
      </w:pPr>
    </w:p>
    <w:p w14:paraId="080BCF73" w14:textId="7BD7E08F" w:rsidR="00B25BE6" w:rsidRDefault="00035067" w:rsidP="00262FEF">
      <w:pPr>
        <w:jc w:val="center"/>
        <w:rPr>
          <w:lang w:val="en-US"/>
        </w:rPr>
      </w:pPr>
      <w:r>
        <w:rPr>
          <w:lang w:val="en-US"/>
        </w:rPr>
        <w:lastRenderedPageBreak/>
        <w:t>References</w:t>
      </w:r>
    </w:p>
    <w:p w14:paraId="682AA039" w14:textId="679B0555" w:rsidR="00262FEF" w:rsidRDefault="00035067" w:rsidP="00262FEF">
      <w:pPr>
        <w:spacing w:line="480" w:lineRule="auto"/>
        <w:ind w:left="720" w:hanging="720"/>
      </w:pPr>
      <w:r w:rsidRPr="00262FEF">
        <w:t>Newell, J. M., &amp; MacNeil, G. A. (201</w:t>
      </w:r>
      <w:r>
        <w:rPr>
          <w:lang w:val="en-US"/>
        </w:rPr>
        <w:t>4</w:t>
      </w:r>
      <w:r w:rsidRPr="00262FEF">
        <w:t>). Professional burnout, vicarious trauma, secondary traumatic stress, and compassion fatigue. </w:t>
      </w:r>
      <w:r w:rsidRPr="00262FEF">
        <w:rPr>
          <w:i/>
          <w:iCs/>
        </w:rPr>
        <w:t>Best Practices in Mental Health</w:t>
      </w:r>
      <w:r w:rsidRPr="00262FEF">
        <w:t>, </w:t>
      </w:r>
      <w:r w:rsidRPr="00262FEF">
        <w:rPr>
          <w:i/>
          <w:iCs/>
        </w:rPr>
        <w:t>6</w:t>
      </w:r>
      <w:r w:rsidRPr="00262FEF">
        <w:t>(2), 57-68.</w:t>
      </w:r>
    </w:p>
    <w:p w14:paraId="37D52AD7" w14:textId="543530B0" w:rsidR="00262FEF" w:rsidRDefault="00035067" w:rsidP="00262FEF">
      <w:pPr>
        <w:spacing w:line="480" w:lineRule="auto"/>
        <w:ind w:left="720" w:hanging="720"/>
      </w:pPr>
      <w:r w:rsidRPr="00262FEF">
        <w:t>Taylor, J., Bradbury‐Jones, C., Breckenridge, J. P., Jones, C., &amp; Herber, O. R. (2016). Risk of vicarious trauma in nursing research: a focused mapping review and synthesis. </w:t>
      </w:r>
      <w:r w:rsidRPr="00262FEF">
        <w:rPr>
          <w:i/>
          <w:iCs/>
        </w:rPr>
        <w:t>Journal of clinical nursing</w:t>
      </w:r>
      <w:r w:rsidRPr="00262FEF">
        <w:t>, </w:t>
      </w:r>
      <w:r w:rsidRPr="00262FEF">
        <w:rPr>
          <w:i/>
          <w:iCs/>
        </w:rPr>
        <w:t>25</w:t>
      </w:r>
      <w:r w:rsidRPr="00262FEF">
        <w:t>(19-20), 2768-2777.</w:t>
      </w:r>
    </w:p>
    <w:p w14:paraId="1799B89D" w14:textId="3728FF54" w:rsidR="00262FEF" w:rsidRDefault="00035067" w:rsidP="00262FEF">
      <w:pPr>
        <w:spacing w:line="480" w:lineRule="auto"/>
        <w:ind w:left="720" w:hanging="720"/>
        <w:rPr>
          <w:lang w:val="en-US"/>
        </w:rPr>
      </w:pPr>
      <w:r w:rsidRPr="00262FEF">
        <w:t>Wagaman, M. A., Geiger, J. M., Shockley, C., &amp; Segal, E. A. (2015). The role of empathy in burnout, compassion satisfaction, and secondary traumatic stress among social workers. </w:t>
      </w:r>
      <w:r w:rsidRPr="00262FEF">
        <w:rPr>
          <w:i/>
          <w:iCs/>
        </w:rPr>
        <w:t>Social work</w:t>
      </w:r>
      <w:r w:rsidRPr="00262FEF">
        <w:t>, </w:t>
      </w:r>
      <w:r w:rsidRPr="00262FEF">
        <w:rPr>
          <w:i/>
          <w:iCs/>
        </w:rPr>
        <w:t>60</w:t>
      </w:r>
      <w:r w:rsidRPr="00262FEF">
        <w:t>(3), 201-209.</w:t>
      </w:r>
    </w:p>
    <w:p w14:paraId="1F1DFA2B" w14:textId="77777777" w:rsidR="00B25BE6" w:rsidRPr="00535897" w:rsidRDefault="00B25BE6">
      <w:pPr>
        <w:rPr>
          <w:lang w:val="en-US"/>
        </w:rPr>
      </w:pPr>
    </w:p>
    <w:sectPr w:rsidR="00B25BE6" w:rsidRPr="00535897" w:rsidSect="001E32B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646E5" w14:textId="77777777" w:rsidR="00E0730A" w:rsidRDefault="00E0730A">
      <w:pPr>
        <w:spacing w:after="0" w:line="240" w:lineRule="auto"/>
      </w:pPr>
      <w:r>
        <w:separator/>
      </w:r>
    </w:p>
  </w:endnote>
  <w:endnote w:type="continuationSeparator" w:id="0">
    <w:p w14:paraId="239F4AC8" w14:textId="77777777" w:rsidR="00E0730A" w:rsidRDefault="00E07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36E03" w14:textId="77777777" w:rsidR="00E0730A" w:rsidRDefault="00E0730A">
      <w:pPr>
        <w:spacing w:after="0" w:line="240" w:lineRule="auto"/>
      </w:pPr>
      <w:r>
        <w:separator/>
      </w:r>
    </w:p>
  </w:footnote>
  <w:footnote w:type="continuationSeparator" w:id="0">
    <w:p w14:paraId="6BD3BF96" w14:textId="77777777" w:rsidR="00E0730A" w:rsidRDefault="00E07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E75E9" w14:textId="34399DCE" w:rsidR="00262FEF" w:rsidRDefault="00035067">
    <w:pPr>
      <w:pStyle w:val="Header"/>
      <w:jc w:val="right"/>
    </w:pPr>
    <w:r w:rsidRPr="00262FEF">
      <w:rPr>
        <w:lang w:val="en-US"/>
      </w:rPr>
      <w:t>VICARIOUS TRAUMA RISK FACTORS</w:t>
    </w:r>
    <w:r w:rsidRPr="00262FEF">
      <w:t xml:space="preserve"> </w:t>
    </w:r>
    <w:r>
      <w:rPr>
        <w:lang w:val="en-US"/>
      </w:rPr>
      <w:t xml:space="preserve">                                                                          </w:t>
    </w:r>
    <w:sdt>
      <w:sdtPr>
        <w:id w:val="-3255949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703085" w14:textId="77777777" w:rsidR="00262FEF" w:rsidRDefault="00262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85129" w14:textId="332FDBAB" w:rsidR="001E32BC" w:rsidRDefault="00035067">
    <w:pPr>
      <w:pStyle w:val="Header"/>
      <w:jc w:val="right"/>
    </w:pPr>
    <w:r>
      <w:rPr>
        <w:lang w:val="en-US"/>
      </w:rPr>
      <w:t xml:space="preserve">Running head: VICARIOUS TRAUMA RISK FACTORS                                                   </w:t>
    </w:r>
    <w:sdt>
      <w:sdtPr>
        <w:id w:val="13945399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A60252" w14:textId="77777777" w:rsidR="001E32BC" w:rsidRDefault="001E32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MjY3NzMxsjQxMTFQ0lEKTi0uzszPAykwrAUAnaFEuiwAAAA="/>
  </w:docVars>
  <w:rsids>
    <w:rsidRoot w:val="00535897"/>
    <w:rsid w:val="00035067"/>
    <w:rsid w:val="001E32BC"/>
    <w:rsid w:val="00262FEF"/>
    <w:rsid w:val="003C0B7D"/>
    <w:rsid w:val="00506581"/>
    <w:rsid w:val="00535897"/>
    <w:rsid w:val="005605C0"/>
    <w:rsid w:val="006B45AB"/>
    <w:rsid w:val="006E31F9"/>
    <w:rsid w:val="00831B91"/>
    <w:rsid w:val="008A41AA"/>
    <w:rsid w:val="00B25BE6"/>
    <w:rsid w:val="00B55C20"/>
    <w:rsid w:val="00CD3E35"/>
    <w:rsid w:val="00E0730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61D5D-28FD-4FF2-A467-1AFB2B6B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2BC"/>
  </w:style>
  <w:style w:type="paragraph" w:styleId="Footer">
    <w:name w:val="footer"/>
    <w:basedOn w:val="Normal"/>
    <w:link w:val="FooterChar"/>
    <w:uiPriority w:val="99"/>
    <w:unhideWhenUsed/>
    <w:rsid w:val="001E3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2019-06-12T14:39:00Z</dcterms:created>
  <dcterms:modified xsi:type="dcterms:W3CDTF">2019-06-12T14:39:00Z</dcterms:modified>
</cp:coreProperties>
</file>